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BA280" w14:textId="77777777" w:rsidR="00F613D0" w:rsidRDefault="00F613D0" w:rsidP="00E81E81">
      <w:pPr>
        <w:jc w:val="both"/>
        <w:rPr>
          <w:rFonts w:eastAsia="Calibri"/>
          <w:b/>
        </w:rPr>
      </w:pPr>
    </w:p>
    <w:p w14:paraId="2F4A4340" w14:textId="77777777" w:rsidR="005516C5" w:rsidRPr="00AF6853" w:rsidRDefault="005516C5" w:rsidP="00E81E81">
      <w:pPr>
        <w:jc w:val="both"/>
        <w:rPr>
          <w:rFonts w:eastAsia="Calibri"/>
          <w:b/>
        </w:rPr>
      </w:pPr>
    </w:p>
    <w:p w14:paraId="78F945FD" w14:textId="7EB38C52" w:rsidR="004E45C9" w:rsidRPr="00AF6853" w:rsidRDefault="007B4FDA" w:rsidP="004E45C9">
      <w:pPr>
        <w:ind w:firstLine="0"/>
        <w:jc w:val="center"/>
        <w:rPr>
          <w:rFonts w:eastAsia="Calibri"/>
          <w:b/>
        </w:rPr>
      </w:pPr>
      <w:r w:rsidRPr="007B4FDA">
        <w:rPr>
          <w:rFonts w:eastAsia="Calibri"/>
          <w:b/>
          <w:caps/>
        </w:rPr>
        <w:t xml:space="preserve">PIRKIMO OBJEKTO NESKAIDYMO Į </w:t>
      </w:r>
      <w:r>
        <w:rPr>
          <w:rFonts w:eastAsia="Calibri"/>
          <w:b/>
          <w:caps/>
        </w:rPr>
        <w:t xml:space="preserve">PIRKIMO OBJEKTO </w:t>
      </w:r>
      <w:r w:rsidRPr="007B4FDA">
        <w:rPr>
          <w:rFonts w:eastAsia="Calibri"/>
          <w:b/>
          <w:caps/>
        </w:rPr>
        <w:t>DALIS PAGRINDIMAS</w:t>
      </w:r>
    </w:p>
    <w:p w14:paraId="63D05917" w14:textId="56F3ADD0" w:rsidR="00DE3580" w:rsidRPr="00AF6853" w:rsidRDefault="00435A07" w:rsidP="00D7236C">
      <w:pPr>
        <w:pStyle w:val="ListParagraph"/>
        <w:tabs>
          <w:tab w:val="left" w:pos="567"/>
        </w:tabs>
        <w:spacing w:before="60" w:after="60"/>
        <w:ind w:left="0" w:firstLine="0"/>
        <w:jc w:val="both"/>
        <w:rPr>
          <w:bCs/>
        </w:rPr>
      </w:pPr>
      <w:bookmarkStart w:id="0" w:name="_Hlk42696669"/>
      <w:r w:rsidRPr="00AF6853">
        <w:tab/>
      </w:r>
      <w:bookmarkEnd w:id="0"/>
    </w:p>
    <w:p w14:paraId="4058792C" w14:textId="6EB4DA46" w:rsidR="00FC4E31" w:rsidRDefault="00473649" w:rsidP="00473649">
      <w:pPr>
        <w:spacing w:after="120"/>
        <w:ind w:firstLine="0"/>
        <w:jc w:val="both"/>
      </w:pPr>
      <w:r w:rsidRPr="0077170E">
        <w:rPr>
          <w:b/>
          <w:bCs/>
          <w:bdr w:val="none" w:sz="0" w:space="0" w:color="auto" w:frame="1"/>
        </w:rPr>
        <w:t>UAB „Ignitis grupės paslaugų centras“</w:t>
      </w:r>
      <w:r w:rsidRPr="0077170E">
        <w:t xml:space="preserve"> </w:t>
      </w:r>
      <w:r w:rsidRPr="0077170E">
        <w:rPr>
          <w:rFonts w:eastAsia="Calibri"/>
        </w:rPr>
        <w:t>(toliau – Pirkėjas/GPC) yra</w:t>
      </w:r>
      <w:r w:rsidRPr="0077170E">
        <w:rPr>
          <w:rFonts w:eastAsia="Calibri"/>
          <w:b/>
        </w:rPr>
        <w:t xml:space="preserve"> </w:t>
      </w:r>
      <w:r w:rsidRPr="0077170E">
        <w:t>viena didžiausių Lietuvoje informacinių technologijų (toliau – IT) bendrovių, teikianti IT ir telekomunikacijų paslaugas AB „Ignitis grupė“ įmonėms (toliau – Grupė).</w:t>
      </w:r>
      <w:r>
        <w:t xml:space="preserve"> </w:t>
      </w:r>
      <w:r w:rsidR="00733972" w:rsidRPr="00733972">
        <w:t xml:space="preserve">Šiuo metu  </w:t>
      </w:r>
      <w:r w:rsidR="00733972">
        <w:t>G</w:t>
      </w:r>
      <w:r w:rsidR="00733972" w:rsidRPr="00733972">
        <w:t xml:space="preserve">rupėje  </w:t>
      </w:r>
      <w:r w:rsidR="000408AB">
        <w:t xml:space="preserve">Lietuvoje </w:t>
      </w:r>
      <w:r w:rsidR="00733972" w:rsidRPr="00733972">
        <w:t xml:space="preserve">dirba daugiau nei </w:t>
      </w:r>
      <w:r w:rsidR="000408AB">
        <w:t>5</w:t>
      </w:r>
      <w:r w:rsidR="00733972" w:rsidRPr="00733972">
        <w:t>.</w:t>
      </w:r>
      <w:r w:rsidR="000408AB">
        <w:t>000</w:t>
      </w:r>
      <w:r w:rsidR="000408AB" w:rsidRPr="00733972">
        <w:t xml:space="preserve"> </w:t>
      </w:r>
      <w:r w:rsidR="00733972" w:rsidRPr="00733972">
        <w:t xml:space="preserve">darbuotojų. </w:t>
      </w:r>
    </w:p>
    <w:p w14:paraId="55046D4F" w14:textId="7A32A2FF" w:rsidR="00473649" w:rsidRPr="0077170E" w:rsidRDefault="00473649" w:rsidP="00733972">
      <w:pPr>
        <w:spacing w:after="120"/>
        <w:ind w:firstLine="0"/>
        <w:jc w:val="both"/>
      </w:pPr>
      <w:r w:rsidRPr="1CBD1CC2">
        <w:t xml:space="preserve">GPC inicijuoja </w:t>
      </w:r>
      <w:r w:rsidR="00733972">
        <w:t>mobiliojo ryšio</w:t>
      </w:r>
      <w:r w:rsidRPr="1CBD1CC2">
        <w:t xml:space="preserve"> paslaug</w:t>
      </w:r>
      <w:r w:rsidR="00733972">
        <w:t>ų</w:t>
      </w:r>
      <w:r w:rsidRPr="1CBD1CC2">
        <w:t xml:space="preserve"> tarptautinį viešąjį pirkimą (toliau – Pirkimas)</w:t>
      </w:r>
      <w:r w:rsidR="00733972">
        <w:t>, kuriuo planuojama įsigyti mobiliojo ryšio</w:t>
      </w:r>
      <w:r w:rsidR="00B06CF9">
        <w:t xml:space="preserve"> (skambučiai, SMS ir pan.)</w:t>
      </w:r>
      <w:r w:rsidR="00733972">
        <w:t xml:space="preserve"> </w:t>
      </w:r>
      <w:r w:rsidR="00B06CF9">
        <w:t>bei kitas susijusias paslaugas</w:t>
      </w:r>
      <w:r w:rsidR="00733972">
        <w:t xml:space="preserve"> </w:t>
      </w:r>
      <w:r w:rsidR="00B06CF9">
        <w:t>(</w:t>
      </w:r>
      <w:proofErr w:type="spellStart"/>
      <w:r w:rsidR="00B06CF9">
        <w:t>eSIM</w:t>
      </w:r>
      <w:proofErr w:type="spellEnd"/>
      <w:r w:rsidR="00B06CF9">
        <w:t xml:space="preserve"> funkcionalumas, masinis SMS siuntimas ir pan.) visos Grupės mastu.</w:t>
      </w:r>
      <w:r w:rsidRPr="1CBD1CC2">
        <w:t xml:space="preserve"> Šios Paslaugos </w:t>
      </w:r>
      <w:r w:rsidR="00B06CF9">
        <w:t xml:space="preserve">yra būtinos siekiant užtikrinti </w:t>
      </w:r>
      <w:r w:rsidRPr="1CBD1CC2">
        <w:t xml:space="preserve">nenutrūkstamą ir savalaikį </w:t>
      </w:r>
      <w:r w:rsidR="00B06CF9">
        <w:t>Grupės veiklų vykdymą, operatyvų keitimąsi informacija bei prieinamumą, Grupės patvirtintų vidinių tvarkų įgyvendinimą, kontrolę bei efektyvią apskaitą</w:t>
      </w:r>
      <w:r w:rsidRPr="1CBD1CC2">
        <w:t xml:space="preserve">. </w:t>
      </w:r>
    </w:p>
    <w:p w14:paraId="545ED454" w14:textId="37D103CC" w:rsidR="00473649" w:rsidRDefault="00F46E95" w:rsidP="00473649">
      <w:pPr>
        <w:spacing w:after="120"/>
        <w:ind w:firstLine="0"/>
        <w:jc w:val="both"/>
      </w:pPr>
      <w:r>
        <w:t xml:space="preserve">Vadovaujantis VPĮ 28 str. 1 d., </w:t>
      </w:r>
      <w:r w:rsidRPr="09A39E47">
        <w:rPr>
          <w:rFonts w:eastAsia="Calibri"/>
        </w:rPr>
        <w:t xml:space="preserve">tarptautinis pirkimas privalo būti skaidomas, išskyrus jei perkančioji organizacija, vadovaujantis VPĮ 28 str. 2 d., </w:t>
      </w:r>
      <w:r>
        <w:rPr>
          <w:rFonts w:eastAsia="Calibri"/>
        </w:rPr>
        <w:t>priimą sprendimą neskaidyti pirkimo</w:t>
      </w:r>
      <w:r w:rsidR="008A71B3">
        <w:rPr>
          <w:rFonts w:eastAsia="Calibri"/>
        </w:rPr>
        <w:t xml:space="preserve"> objekto</w:t>
      </w:r>
      <w:r>
        <w:rPr>
          <w:rFonts w:eastAsia="Calibri"/>
        </w:rPr>
        <w:t xml:space="preserve">, </w:t>
      </w:r>
      <w:r w:rsidR="00C74C77">
        <w:rPr>
          <w:rFonts w:eastAsia="Calibri"/>
        </w:rPr>
        <w:t xml:space="preserve">aiškiai </w:t>
      </w:r>
      <w:r>
        <w:rPr>
          <w:rFonts w:eastAsia="Calibri"/>
        </w:rPr>
        <w:t xml:space="preserve">nurodant tokį sprendimą pagrindžiančius argumentus. </w:t>
      </w:r>
      <w:r w:rsidR="00C74C77">
        <w:rPr>
          <w:rFonts w:eastAsia="Calibri"/>
        </w:rPr>
        <w:t xml:space="preserve">Išimtis neskaidyti pirkimo pagal </w:t>
      </w:r>
      <w:r w:rsidR="008A71B3">
        <w:rPr>
          <w:rFonts w:eastAsia="Calibri"/>
        </w:rPr>
        <w:t xml:space="preserve">nuosekliai formuojamą </w:t>
      </w:r>
      <w:r w:rsidR="00C74C77">
        <w:rPr>
          <w:rFonts w:eastAsia="Calibri"/>
        </w:rPr>
        <w:t>teismų praktiką gali būti taikoma, jeigu</w:t>
      </w:r>
      <w:r w:rsidRPr="09A39E47">
        <w:rPr>
          <w:rFonts w:eastAsia="Calibri"/>
        </w:rPr>
        <w:t xml:space="preserve"> dėl skaidymo sumažėtų tiekėjų konkurencija, pirkimo sutarties vykdymas taptų per daug brangus ar sudėtingas techniniu požiūriu, </w:t>
      </w:r>
      <w:r>
        <w:t>skirtingų pirkimo objekto dalių įgyvendinimas būtų glaudžiai susijęs ir dėl to</w:t>
      </w:r>
      <w:r w:rsidRPr="09A39E47">
        <w:rPr>
          <w:b/>
          <w:bCs/>
        </w:rPr>
        <w:t xml:space="preserve"> </w:t>
      </w:r>
      <w:r>
        <w:t>perkančiajai organizacijai</w:t>
      </w:r>
      <w:r w:rsidRPr="09A39E47">
        <w:rPr>
          <w:b/>
          <w:bCs/>
        </w:rPr>
        <w:t xml:space="preserve"> </w:t>
      </w:r>
      <w:r w:rsidRPr="09A39E47">
        <w:rPr>
          <w:rFonts w:eastAsia="Calibri"/>
        </w:rPr>
        <w:t xml:space="preserve">atsirastų būtinybė koordinuoti šių dalių tiekėjus ir tai keltų riziką netinkamai įvykdyti pirkimo sutartį, </w:t>
      </w:r>
      <w:r w:rsidR="00C74C77">
        <w:rPr>
          <w:rFonts w:eastAsia="Calibri"/>
        </w:rPr>
        <w:t xml:space="preserve">ar </w:t>
      </w:r>
      <w:r w:rsidR="00C74C77">
        <w:t>būtų nustatytos kitos</w:t>
      </w:r>
      <w:r>
        <w:t xml:space="preserve"> pagrįst</w:t>
      </w:r>
      <w:r w:rsidR="00C74C77">
        <w:t>os</w:t>
      </w:r>
      <w:r>
        <w:t xml:space="preserve"> aplinkyb</w:t>
      </w:r>
      <w:r w:rsidR="00C74C77">
        <w:t>ė</w:t>
      </w:r>
      <w:r>
        <w:t>s, dėl kurių netikslinga pirkimo objektą skaidyti į dalis.</w:t>
      </w:r>
    </w:p>
    <w:p w14:paraId="7F445983" w14:textId="034F08B1" w:rsidR="008A71B3" w:rsidRDefault="008A71B3" w:rsidP="00473649">
      <w:pPr>
        <w:spacing w:after="120"/>
        <w:ind w:firstLine="0"/>
        <w:jc w:val="both"/>
      </w:pPr>
      <w:r>
        <w:t xml:space="preserve">Šiame kontekste pažymėtina, kad </w:t>
      </w:r>
      <w:r w:rsidR="00940F6B" w:rsidRPr="008A71B3">
        <w:t xml:space="preserve">Pirkimas negalėtų ir neturėtų būti skaidomas į dalis, nes toks skaidymas nėra galimas pagal VPĮ 28 str. kriterijus dėl to, kad perkama vientisa paslauga, kuri apima </w:t>
      </w:r>
      <w:r w:rsidR="00940F6B">
        <w:t xml:space="preserve">mobiliojo ryšio ir kitas neatsiejamai susijusias paslaugas. Šiuo atveju </w:t>
      </w:r>
      <w:r>
        <w:t xml:space="preserve">Pirkimo objekto dėl jo vientisumo negalima skaidyti </w:t>
      </w:r>
      <w:r w:rsidR="00940F6B">
        <w:t xml:space="preserve">nei </w:t>
      </w:r>
      <w:r>
        <w:t xml:space="preserve">kiekybiniu, </w:t>
      </w:r>
      <w:r w:rsidR="00940F6B">
        <w:t xml:space="preserve">nei </w:t>
      </w:r>
      <w:r>
        <w:t xml:space="preserve">kokybiniu kriterijumi ar kaip nors kitaip. </w:t>
      </w:r>
      <w:r w:rsidRPr="008A71B3">
        <w:t>Pabrėžtina, kad šiuo atveju Pirkimo objektas nėra skaidomas ne dėl to, kad perkančioji organizacija nusprendė, vadovaudamasi VPĮ 28 str. 2 d. neskaidyti Pirkimo objekto, o būtent dėl paties Pirkimo objekto specifikos – negalimumo skaidyti nedalomą Pirkimo objektą.</w:t>
      </w:r>
      <w:r w:rsidR="00940F6B">
        <w:t xml:space="preserve"> Šią poziciją patvirtina žemiau nurodyti argumentai.</w:t>
      </w:r>
    </w:p>
    <w:p w14:paraId="0C5ADD61" w14:textId="38F16913" w:rsidR="00C74C77" w:rsidRPr="004E6B8C" w:rsidRDefault="00940F6B" w:rsidP="004449A3">
      <w:pPr>
        <w:pStyle w:val="ListParagraph"/>
        <w:numPr>
          <w:ilvl w:val="0"/>
          <w:numId w:val="28"/>
        </w:numPr>
        <w:spacing w:after="120"/>
        <w:ind w:left="714" w:hanging="357"/>
        <w:contextualSpacing w:val="0"/>
        <w:jc w:val="both"/>
        <w:rPr>
          <w:bCs/>
          <w:lang w:val="en-US"/>
        </w:rPr>
      </w:pPr>
      <w:r w:rsidRPr="006146A0">
        <w:rPr>
          <w:bCs/>
        </w:rPr>
        <w:t xml:space="preserve">Pirkimo objektą sudarančios paslaugos yra technologiškai viena su kita susijusios, nes teikiamos tos pačios SIM kortelės pagrindu, kurią ryšio operatorius suteikia kiekvienam </w:t>
      </w:r>
      <w:r>
        <w:rPr>
          <w:bCs/>
        </w:rPr>
        <w:t>Pirkėjo</w:t>
      </w:r>
      <w:r w:rsidRPr="006146A0">
        <w:rPr>
          <w:bCs/>
        </w:rPr>
        <w:t xml:space="preserve"> </w:t>
      </w:r>
      <w:r>
        <w:rPr>
          <w:bCs/>
        </w:rPr>
        <w:t>a</w:t>
      </w:r>
      <w:r w:rsidRPr="006146A0">
        <w:rPr>
          <w:bCs/>
        </w:rPr>
        <w:t>bonentui</w:t>
      </w:r>
      <w:r>
        <w:rPr>
          <w:bCs/>
        </w:rPr>
        <w:t>. Atitinkamai, atskiros mobiliojo ryšio paslaugų dalys (skambučiai,</w:t>
      </w:r>
      <w:r w:rsidR="004E6B8C">
        <w:rPr>
          <w:bCs/>
        </w:rPr>
        <w:t xml:space="preserve"> SMS,</w:t>
      </w:r>
      <w:r>
        <w:rPr>
          <w:bCs/>
        </w:rPr>
        <w:t xml:space="preserve"> mobilusis internetas ir pan.)</w:t>
      </w:r>
      <w:r w:rsidR="004E6B8C">
        <w:rPr>
          <w:bCs/>
        </w:rPr>
        <w:t xml:space="preserve"> kokybiškai negalėtų būti išskirtos, nes funkciškai priklauso nuo suteiktų SIM kortelių</w:t>
      </w:r>
      <w:r w:rsidR="00AC21C8">
        <w:rPr>
          <w:bCs/>
        </w:rPr>
        <w:t>;</w:t>
      </w:r>
    </w:p>
    <w:p w14:paraId="3AD5B653" w14:textId="1D56DABB" w:rsidR="004E6B8C" w:rsidRPr="007A74B3" w:rsidRDefault="00AC21C8" w:rsidP="007A74B3">
      <w:pPr>
        <w:pStyle w:val="ListParagraph"/>
        <w:numPr>
          <w:ilvl w:val="0"/>
          <w:numId w:val="28"/>
        </w:numPr>
        <w:spacing w:after="120"/>
        <w:contextualSpacing w:val="0"/>
        <w:jc w:val="both"/>
        <w:rPr>
          <w:bCs/>
        </w:rPr>
      </w:pPr>
      <w:r>
        <w:rPr>
          <w:bCs/>
        </w:rPr>
        <w:t>išskyrus</w:t>
      </w:r>
      <w:r w:rsidR="004E6B8C" w:rsidRPr="004449A3">
        <w:rPr>
          <w:bCs/>
        </w:rPr>
        <w:t xml:space="preserve"> Pirkėjo abonentus kiekybiniu požymiu ir jei atskirų pirkimo dalių laimėtojais taptų skirtingi ti</w:t>
      </w:r>
      <w:r w:rsidR="004449A3" w:rsidRPr="004449A3">
        <w:rPr>
          <w:bCs/>
        </w:rPr>
        <w:t>e</w:t>
      </w:r>
      <w:r w:rsidR="004E6B8C" w:rsidRPr="004449A3">
        <w:rPr>
          <w:bCs/>
        </w:rPr>
        <w:t>kėjai</w:t>
      </w:r>
      <w:r w:rsidR="004449A3" w:rsidRPr="004449A3">
        <w:rPr>
          <w:bCs/>
        </w:rPr>
        <w:t xml:space="preserve"> </w:t>
      </w:r>
      <w:r w:rsidR="004E6B8C" w:rsidRPr="004449A3">
        <w:rPr>
          <w:bCs/>
        </w:rPr>
        <w:t xml:space="preserve">– </w:t>
      </w:r>
      <w:r w:rsidRPr="004449A3">
        <w:rPr>
          <w:bCs/>
        </w:rPr>
        <w:t xml:space="preserve">techniniu požiūriu </w:t>
      </w:r>
      <w:r>
        <w:rPr>
          <w:bCs/>
        </w:rPr>
        <w:t>pasunkėtų</w:t>
      </w:r>
      <w:r w:rsidR="004E6B8C" w:rsidRPr="004449A3">
        <w:rPr>
          <w:bCs/>
        </w:rPr>
        <w:t xml:space="preserve"> </w:t>
      </w:r>
      <w:r w:rsidR="004449A3" w:rsidRPr="004449A3">
        <w:rPr>
          <w:bCs/>
        </w:rPr>
        <w:t>p</w:t>
      </w:r>
      <w:r w:rsidR="004E6B8C" w:rsidRPr="004449A3">
        <w:rPr>
          <w:bCs/>
        </w:rPr>
        <w:t xml:space="preserve">aslaugų </w:t>
      </w:r>
      <w:r>
        <w:rPr>
          <w:bCs/>
        </w:rPr>
        <w:t xml:space="preserve">teikimo </w:t>
      </w:r>
      <w:r w:rsidR="004E6B8C" w:rsidRPr="004449A3">
        <w:rPr>
          <w:bCs/>
        </w:rPr>
        <w:t xml:space="preserve">apskaitos </w:t>
      </w:r>
      <w:r>
        <w:rPr>
          <w:bCs/>
        </w:rPr>
        <w:t xml:space="preserve">formavimas, dėl ko galimai </w:t>
      </w:r>
      <w:r w:rsidR="004E6B8C" w:rsidRPr="004449A3">
        <w:rPr>
          <w:bCs/>
        </w:rPr>
        <w:t xml:space="preserve">nebūtų užtikrinamas sklandus ir nepertraukiamas paslaugų teikimas </w:t>
      </w:r>
      <w:r w:rsidR="004449A3" w:rsidRPr="004449A3">
        <w:rPr>
          <w:bCs/>
        </w:rPr>
        <w:t>Pirkėjo</w:t>
      </w:r>
      <w:r w:rsidR="004E6B8C" w:rsidRPr="004449A3">
        <w:rPr>
          <w:bCs/>
        </w:rPr>
        <w:t xml:space="preserve"> abonentams.</w:t>
      </w:r>
      <w:r w:rsidR="004449A3" w:rsidRPr="004449A3">
        <w:rPr>
          <w:bCs/>
        </w:rPr>
        <w:t xml:space="preserve"> </w:t>
      </w:r>
      <w:r>
        <w:rPr>
          <w:bCs/>
        </w:rPr>
        <w:t>Atsižvelgiant į šiuo Pirkimu siekiamą tikslą,</w:t>
      </w:r>
      <w:r w:rsidR="004449A3">
        <w:rPr>
          <w:bCs/>
        </w:rPr>
        <w:t xml:space="preserve"> Pirkėjui yra itin svarbu turėti galimybę </w:t>
      </w:r>
      <w:r w:rsidR="004449A3" w:rsidRPr="004449A3">
        <w:rPr>
          <w:bCs/>
        </w:rPr>
        <w:t xml:space="preserve">detalizuoti ir kategorizuoti </w:t>
      </w:r>
      <w:r w:rsidR="004449A3">
        <w:rPr>
          <w:bCs/>
        </w:rPr>
        <w:t>mobiliojo ryšio ir susijusi</w:t>
      </w:r>
      <w:r>
        <w:rPr>
          <w:bCs/>
        </w:rPr>
        <w:t>ų</w:t>
      </w:r>
      <w:r w:rsidR="004449A3">
        <w:rPr>
          <w:bCs/>
        </w:rPr>
        <w:t xml:space="preserve"> paslaug</w:t>
      </w:r>
      <w:r w:rsidR="007A74B3">
        <w:rPr>
          <w:bCs/>
        </w:rPr>
        <w:t xml:space="preserve">ų </w:t>
      </w:r>
      <w:r w:rsidR="004449A3" w:rsidRPr="004449A3">
        <w:rPr>
          <w:bCs/>
        </w:rPr>
        <w:t>ataskait</w:t>
      </w:r>
      <w:r w:rsidR="007A74B3">
        <w:rPr>
          <w:bCs/>
        </w:rPr>
        <w:t>a</w:t>
      </w:r>
      <w:r w:rsidR="004449A3" w:rsidRPr="004449A3">
        <w:rPr>
          <w:bCs/>
        </w:rPr>
        <w:t>s bei pateikti j</w:t>
      </w:r>
      <w:r w:rsidR="007A74B3">
        <w:rPr>
          <w:bCs/>
        </w:rPr>
        <w:t>as</w:t>
      </w:r>
      <w:r w:rsidR="004449A3" w:rsidRPr="004449A3">
        <w:rPr>
          <w:bCs/>
        </w:rPr>
        <w:t xml:space="preserve"> XML ar CSV formatu</w:t>
      </w:r>
      <w:r w:rsidR="007A74B3">
        <w:rPr>
          <w:bCs/>
        </w:rPr>
        <w:t>, kadangi tai turi įtakos</w:t>
      </w:r>
      <w:r w:rsidR="004449A3" w:rsidRPr="004449A3">
        <w:rPr>
          <w:bCs/>
        </w:rPr>
        <w:t xml:space="preserve"> </w:t>
      </w:r>
      <w:r w:rsidR="007A74B3" w:rsidRPr="004449A3">
        <w:rPr>
          <w:bCs/>
        </w:rPr>
        <w:t>mokes</w:t>
      </w:r>
      <w:r w:rsidR="007A74B3">
        <w:rPr>
          <w:bCs/>
        </w:rPr>
        <w:t>čio</w:t>
      </w:r>
      <w:r w:rsidR="007A74B3" w:rsidRPr="004449A3">
        <w:rPr>
          <w:bCs/>
        </w:rPr>
        <w:t xml:space="preserve"> už </w:t>
      </w:r>
      <w:r w:rsidR="007A74B3">
        <w:rPr>
          <w:bCs/>
        </w:rPr>
        <w:t>suteiktas</w:t>
      </w:r>
      <w:r w:rsidR="007A74B3" w:rsidRPr="004449A3">
        <w:rPr>
          <w:bCs/>
        </w:rPr>
        <w:t xml:space="preserve"> paslaugas išskait</w:t>
      </w:r>
      <w:r w:rsidR="007A74B3">
        <w:rPr>
          <w:bCs/>
        </w:rPr>
        <w:t>ymo</w:t>
      </w:r>
      <w:r w:rsidR="007A74B3" w:rsidRPr="004449A3">
        <w:rPr>
          <w:bCs/>
        </w:rPr>
        <w:t xml:space="preserve"> iš jomis pasinaudojusio </w:t>
      </w:r>
      <w:r w:rsidR="007A74B3">
        <w:rPr>
          <w:bCs/>
        </w:rPr>
        <w:t>a</w:t>
      </w:r>
      <w:r w:rsidR="007A74B3" w:rsidRPr="004449A3">
        <w:rPr>
          <w:bCs/>
        </w:rPr>
        <w:t>bonento atlygio</w:t>
      </w:r>
      <w:r w:rsidR="007A74B3">
        <w:rPr>
          <w:bCs/>
        </w:rPr>
        <w:t xml:space="preserve"> pagal patvirtintas Grupės vidines tvarkas</w:t>
      </w:r>
      <w:r w:rsidR="004449A3" w:rsidRPr="004449A3">
        <w:rPr>
          <w:bCs/>
        </w:rPr>
        <w:t>.</w:t>
      </w:r>
      <w:r w:rsidR="007A74B3">
        <w:rPr>
          <w:bCs/>
        </w:rPr>
        <w:t xml:space="preserve"> </w:t>
      </w:r>
      <w:r w:rsidR="004449A3" w:rsidRPr="007A74B3">
        <w:rPr>
          <w:bCs/>
        </w:rPr>
        <w:t>Negana</w:t>
      </w:r>
      <w:r>
        <w:rPr>
          <w:bCs/>
        </w:rPr>
        <w:t xml:space="preserve"> to</w:t>
      </w:r>
      <w:r w:rsidR="004449A3" w:rsidRPr="007A74B3">
        <w:rPr>
          <w:bCs/>
        </w:rPr>
        <w:t>, keliems ryšio operatoriams teikiant paslaugas kiltų papildomų klausimų aiškinantis, kurio tiekėjo paslaugos neatitinka GPC nustatytų kokybės reikalavimų kelių abonentų, priklausančių skirtingiems ryšio operatoriams, netinkamos tarpusavio sąveikos atveju.</w:t>
      </w:r>
    </w:p>
    <w:p w14:paraId="3723A055" w14:textId="304AE20E" w:rsidR="004E6B8C" w:rsidRPr="004E6B8C" w:rsidRDefault="007A74B3" w:rsidP="004449A3">
      <w:pPr>
        <w:pStyle w:val="ListParagraph"/>
        <w:numPr>
          <w:ilvl w:val="0"/>
          <w:numId w:val="28"/>
        </w:numPr>
        <w:spacing w:after="120"/>
        <w:ind w:left="714" w:hanging="357"/>
        <w:contextualSpacing w:val="0"/>
        <w:jc w:val="both"/>
        <w:rPr>
          <w:bCs/>
          <w:lang w:val="en-US"/>
        </w:rPr>
      </w:pPr>
      <w:r w:rsidRPr="0077170E">
        <w:t xml:space="preserve">vadovaujantis visuotinai žinomomis rinkos taisyklėmis (masto ekonomija), didesnio prekių ar paslaugų kiekio pirkimas sąlygoja mažesnes pasiūlymų kainas, nes vienas paslaugų teikėjas gali teikti kelias paslaugas, optimizuojant darbo jėgos, žinių ir kitų resursų sąnaudas, dėl ko pasiūlomi mažesni įkainiai. Jeigu Pirkimas būtų skaidomas į du ir daugiau pirkimo objektus ir paslaugas teiktų du ir daugiau </w:t>
      </w:r>
      <w:r>
        <w:t>p</w:t>
      </w:r>
      <w:r w:rsidRPr="0077170E">
        <w:t xml:space="preserve">aslaugų teikėjų, kurie turėtų organizuoti ir užtikrinti savo darbo jėgą, naudojamą įrangą, specialias žinias turinčius specialistus, tai savaime padidintų pasiūlymų kainas atskiroms Pirkimo objekto dalims, palyginus su vienu </w:t>
      </w:r>
      <w:r>
        <w:t>p</w:t>
      </w:r>
      <w:r w:rsidRPr="0077170E">
        <w:t>aslaugų teikėju.</w:t>
      </w:r>
    </w:p>
    <w:p w14:paraId="5FBA757D" w14:textId="612E731D" w:rsidR="004E6B8C" w:rsidRPr="00940F6B" w:rsidRDefault="007A74B3" w:rsidP="004449A3">
      <w:pPr>
        <w:pStyle w:val="ListParagraph"/>
        <w:numPr>
          <w:ilvl w:val="0"/>
          <w:numId w:val="28"/>
        </w:numPr>
        <w:spacing w:after="120"/>
        <w:ind w:left="714" w:hanging="357"/>
        <w:contextualSpacing w:val="0"/>
        <w:jc w:val="both"/>
        <w:rPr>
          <w:bCs/>
          <w:lang w:val="en-US"/>
        </w:rPr>
      </w:pPr>
      <w:r w:rsidRPr="006146A0">
        <w:rPr>
          <w:bCs/>
        </w:rPr>
        <w:t xml:space="preserve">atsižvelgiant į rinkos specifiką, </w:t>
      </w:r>
      <w:r>
        <w:rPr>
          <w:bCs/>
        </w:rPr>
        <w:t xml:space="preserve">vientisu Pirkimo objekto įsigijimu </w:t>
      </w:r>
      <w:r w:rsidRPr="006146A0">
        <w:rPr>
          <w:bCs/>
        </w:rPr>
        <w:t xml:space="preserve">bus užtikrinta konkurencija ir tiekėjų nediskriminavimas, </w:t>
      </w:r>
      <w:r>
        <w:rPr>
          <w:bCs/>
        </w:rPr>
        <w:t>o</w:t>
      </w:r>
      <w:r w:rsidRPr="006146A0">
        <w:rPr>
          <w:bCs/>
        </w:rPr>
        <w:t xml:space="preserve"> </w:t>
      </w:r>
      <w:r>
        <w:rPr>
          <w:bCs/>
        </w:rPr>
        <w:t>P</w:t>
      </w:r>
      <w:r w:rsidRPr="006146A0">
        <w:rPr>
          <w:bCs/>
        </w:rPr>
        <w:t xml:space="preserve">irkimo objekto skaidymas </w:t>
      </w:r>
      <w:r>
        <w:rPr>
          <w:bCs/>
        </w:rPr>
        <w:t xml:space="preserve">savaime </w:t>
      </w:r>
      <w:r w:rsidRPr="006146A0">
        <w:rPr>
          <w:bCs/>
        </w:rPr>
        <w:t>nepaskatintų naujų rinkos dalyvių pritraukimo</w:t>
      </w:r>
      <w:r>
        <w:rPr>
          <w:bCs/>
        </w:rPr>
        <w:t xml:space="preserve">, tuo labiau kad visi Lietuvoje veikiantys ryšio operatoriai teikia plataus spektro paslaugas, </w:t>
      </w:r>
      <w:r w:rsidR="00AC21C8">
        <w:rPr>
          <w:bCs/>
        </w:rPr>
        <w:t xml:space="preserve">tame tarpe ir paslaugas, </w:t>
      </w:r>
      <w:r>
        <w:rPr>
          <w:bCs/>
        </w:rPr>
        <w:t>sudarančias Pirkimo objektą. Įvertinus rinkos situaciją</w:t>
      </w:r>
      <w:r w:rsidR="001231A5">
        <w:rPr>
          <w:bCs/>
        </w:rPr>
        <w:t xml:space="preserve"> ir joje veikiančius dalyvius</w:t>
      </w:r>
      <w:r>
        <w:rPr>
          <w:bCs/>
        </w:rPr>
        <w:t>, Pirkimo objekto skaidymas į dalis neturėtų jokios reikšmės konkurencijos</w:t>
      </w:r>
      <w:r w:rsidR="001231A5">
        <w:rPr>
          <w:bCs/>
        </w:rPr>
        <w:t xml:space="preserve"> užtikrinimui</w:t>
      </w:r>
      <w:r w:rsidR="002007D1">
        <w:rPr>
          <w:bCs/>
        </w:rPr>
        <w:t xml:space="preserve">. </w:t>
      </w:r>
    </w:p>
    <w:p w14:paraId="224B3D1F" w14:textId="77777777" w:rsidR="00804671" w:rsidRPr="009D3C92" w:rsidRDefault="00804671" w:rsidP="00473649">
      <w:pPr>
        <w:spacing w:after="120"/>
        <w:ind w:firstLine="0"/>
        <w:jc w:val="both"/>
      </w:pPr>
    </w:p>
    <w:p w14:paraId="4C80F7BC" w14:textId="5A85FC57" w:rsidR="00804671" w:rsidRDefault="00804671" w:rsidP="00940F6B">
      <w:pPr>
        <w:spacing w:after="120"/>
        <w:ind w:firstLine="0"/>
        <w:jc w:val="both"/>
        <w:rPr>
          <w:rFonts w:eastAsia="Calibri"/>
        </w:rPr>
      </w:pPr>
      <w:r>
        <w:t>Apibendrinant visus aukščiau išdėstytus argumentus darytina išvada, kad sprendimas neskaidyti Pirkimo objekto į atskiras dalis yra pagrįstas, būtinas ir proporcingas Grupės siekiamiems poreikiams patenkinti</w:t>
      </w:r>
      <w:r w:rsidR="002007D1">
        <w:t xml:space="preserve">, o dirbtinai išskaidžius Pirkimo objektą į atskiras dalis būtų sudaromos prielaidos atlikti visiškai formalias ir </w:t>
      </w:r>
      <w:proofErr w:type="spellStart"/>
      <w:r w:rsidR="002007D1">
        <w:t>savitikslines</w:t>
      </w:r>
      <w:proofErr w:type="spellEnd"/>
      <w:r w:rsidR="002007D1">
        <w:t xml:space="preserve"> pirkimo procedūras, nepasiekiant Pirkimo tikslų.</w:t>
      </w:r>
    </w:p>
    <w:sectPr w:rsidR="00804671" w:rsidSect="00816D36">
      <w:headerReference w:type="even" r:id="rId11"/>
      <w:headerReference w:type="default" r:id="rId12"/>
      <w:headerReference w:type="first" r:id="rId13"/>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EE67A" w14:textId="77777777" w:rsidR="00465EA9" w:rsidRDefault="00465EA9" w:rsidP="00E81E81">
      <w:r>
        <w:separator/>
      </w:r>
    </w:p>
  </w:endnote>
  <w:endnote w:type="continuationSeparator" w:id="0">
    <w:p w14:paraId="2873D73D" w14:textId="77777777" w:rsidR="00465EA9" w:rsidRDefault="00465EA9" w:rsidP="00E81E81">
      <w:r>
        <w:continuationSeparator/>
      </w:r>
    </w:p>
  </w:endnote>
  <w:endnote w:type="continuationNotice" w:id="1">
    <w:p w14:paraId="62E67ACA" w14:textId="77777777" w:rsidR="00465EA9" w:rsidRDefault="00465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AE0F8" w14:textId="77777777" w:rsidR="00465EA9" w:rsidRDefault="00465EA9" w:rsidP="00E81E81">
      <w:r>
        <w:separator/>
      </w:r>
    </w:p>
  </w:footnote>
  <w:footnote w:type="continuationSeparator" w:id="0">
    <w:p w14:paraId="28C6B14B" w14:textId="77777777" w:rsidR="00465EA9" w:rsidRDefault="00465EA9" w:rsidP="00E81E81">
      <w:r>
        <w:continuationSeparator/>
      </w:r>
    </w:p>
  </w:footnote>
  <w:footnote w:type="continuationNotice" w:id="1">
    <w:p w14:paraId="487E41F5" w14:textId="77777777" w:rsidR="00465EA9" w:rsidRDefault="00465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6501" w14:textId="77777777" w:rsidR="00017C8E" w:rsidRDefault="00017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63E0" w14:textId="77777777" w:rsidR="00017C8E" w:rsidRDefault="00017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8A82" w14:textId="77777777" w:rsidR="00017C8E" w:rsidRDefault="00017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EAE"/>
    <w:multiLevelType w:val="hybridMultilevel"/>
    <w:tmpl w:val="EA6613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72546AF"/>
    <w:multiLevelType w:val="hybridMultilevel"/>
    <w:tmpl w:val="F7F87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69064C"/>
    <w:multiLevelType w:val="hybridMultilevel"/>
    <w:tmpl w:val="C50CFF2E"/>
    <w:lvl w:ilvl="0" w:tplc="6D5498E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BB546D9"/>
    <w:multiLevelType w:val="hybridMultilevel"/>
    <w:tmpl w:val="3DB473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513112"/>
    <w:multiLevelType w:val="hybridMultilevel"/>
    <w:tmpl w:val="931C18F2"/>
    <w:lvl w:ilvl="0" w:tplc="04270001">
      <w:start w:val="1"/>
      <w:numFmt w:val="bullet"/>
      <w:lvlText w:val=""/>
      <w:lvlJc w:val="left"/>
      <w:pPr>
        <w:ind w:left="1440" w:hanging="360"/>
      </w:pPr>
      <w:rPr>
        <w:rFonts w:ascii="Symbol" w:hAnsi="Symbol" w:hint="default"/>
      </w:rPr>
    </w:lvl>
    <w:lvl w:ilvl="1" w:tplc="D216405E">
      <w:start w:val="1"/>
      <w:numFmt w:val="bullet"/>
      <w:lvlText w:val="-"/>
      <w:lvlJc w:val="left"/>
      <w:pPr>
        <w:ind w:left="2160" w:hanging="360"/>
      </w:pPr>
      <w:rPr>
        <w:rFonts w:ascii="Segoe UI Semibold" w:hAnsi="Segoe UI Semibold"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AE155CC"/>
    <w:multiLevelType w:val="hybridMultilevel"/>
    <w:tmpl w:val="FE4C7480"/>
    <w:lvl w:ilvl="0" w:tplc="4618960E">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963F5"/>
    <w:multiLevelType w:val="hybridMultilevel"/>
    <w:tmpl w:val="EDA0C4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84B4D"/>
    <w:multiLevelType w:val="hybridMultilevel"/>
    <w:tmpl w:val="FCAAB188"/>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252F260A"/>
    <w:multiLevelType w:val="hybridMultilevel"/>
    <w:tmpl w:val="2A403E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911C13"/>
    <w:multiLevelType w:val="hybridMultilevel"/>
    <w:tmpl w:val="5A42EAA2"/>
    <w:lvl w:ilvl="0" w:tplc="864CB98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D26898"/>
    <w:multiLevelType w:val="hybridMultilevel"/>
    <w:tmpl w:val="C9F45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D82421"/>
    <w:multiLevelType w:val="hybridMultilevel"/>
    <w:tmpl w:val="364213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4F28D1"/>
    <w:multiLevelType w:val="hybridMultilevel"/>
    <w:tmpl w:val="08366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1552910"/>
    <w:multiLevelType w:val="hybridMultilevel"/>
    <w:tmpl w:val="0FB608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A932E36"/>
    <w:multiLevelType w:val="multilevel"/>
    <w:tmpl w:val="B9C08472"/>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ascii="Arial" w:hAnsi="Arial" w:cs="Arial" w:hint="default"/>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2138" w:hanging="720"/>
      </w:pPr>
      <w:rPr>
        <w:rFonts w:hint="default"/>
        <w:b w:val="0"/>
        <w:sz w:val="20"/>
      </w:rPr>
    </w:lvl>
    <w:lvl w:ilvl="4">
      <w:start w:val="1"/>
      <w:numFmt w:val="decimal"/>
      <w:isLgl/>
      <w:lvlText w:val="%1.%2.%3.%4.%5."/>
      <w:lvlJc w:val="left"/>
      <w:pPr>
        <w:ind w:left="1930" w:hanging="1080"/>
      </w:pPr>
      <w:rPr>
        <w:rFonts w:hint="default"/>
        <w:b w:val="0"/>
        <w:sz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6F05B0"/>
    <w:multiLevelType w:val="hybridMultilevel"/>
    <w:tmpl w:val="4F3E91A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C0302E"/>
    <w:multiLevelType w:val="hybridMultilevel"/>
    <w:tmpl w:val="EB24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E3C20"/>
    <w:multiLevelType w:val="hybridMultilevel"/>
    <w:tmpl w:val="B9ACB0CC"/>
    <w:lvl w:ilvl="0" w:tplc="FCA02E1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A55EED"/>
    <w:multiLevelType w:val="hybridMultilevel"/>
    <w:tmpl w:val="C80E5472"/>
    <w:lvl w:ilvl="0" w:tplc="8624B67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6830F11"/>
    <w:multiLevelType w:val="hybridMultilevel"/>
    <w:tmpl w:val="7D825A58"/>
    <w:lvl w:ilvl="0" w:tplc="D216405E">
      <w:start w:val="1"/>
      <w:numFmt w:val="bullet"/>
      <w:lvlText w:val="-"/>
      <w:lvlJc w:val="left"/>
      <w:pPr>
        <w:ind w:left="1440" w:hanging="360"/>
      </w:pPr>
      <w:rPr>
        <w:rFonts w:ascii="Segoe UI Semibold" w:hAnsi="Segoe UI Semibold"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6DFA6A46"/>
    <w:multiLevelType w:val="hybridMultilevel"/>
    <w:tmpl w:val="BF9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B244A"/>
    <w:multiLevelType w:val="multilevel"/>
    <w:tmpl w:val="FD86AD5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bCs/>
        <w:i w:val="0"/>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7721116">
    <w:abstractNumId w:val="6"/>
  </w:num>
  <w:num w:numId="2" w16cid:durableId="249966327">
    <w:abstractNumId w:val="12"/>
  </w:num>
  <w:num w:numId="3" w16cid:durableId="305866522">
    <w:abstractNumId w:val="22"/>
  </w:num>
  <w:num w:numId="4" w16cid:durableId="1732195253">
    <w:abstractNumId w:val="13"/>
  </w:num>
  <w:num w:numId="5" w16cid:durableId="1442459085">
    <w:abstractNumId w:val="17"/>
  </w:num>
  <w:num w:numId="6" w16cid:durableId="1198934450">
    <w:abstractNumId w:val="24"/>
  </w:num>
  <w:num w:numId="7" w16cid:durableId="126826610">
    <w:abstractNumId w:val="18"/>
  </w:num>
  <w:num w:numId="8" w16cid:durableId="1539128822">
    <w:abstractNumId w:val="26"/>
  </w:num>
  <w:num w:numId="9" w16cid:durableId="1923755583">
    <w:abstractNumId w:val="0"/>
  </w:num>
  <w:num w:numId="10" w16cid:durableId="1585840915">
    <w:abstractNumId w:val="15"/>
  </w:num>
  <w:num w:numId="11" w16cid:durableId="1252158125">
    <w:abstractNumId w:val="11"/>
  </w:num>
  <w:num w:numId="12" w16cid:durableId="655647714">
    <w:abstractNumId w:val="8"/>
  </w:num>
  <w:num w:numId="13" w16cid:durableId="1111894688">
    <w:abstractNumId w:val="19"/>
  </w:num>
  <w:num w:numId="14" w16cid:durableId="1588616705">
    <w:abstractNumId w:val="3"/>
  </w:num>
  <w:num w:numId="15" w16cid:durableId="1239629033">
    <w:abstractNumId w:val="4"/>
  </w:num>
  <w:num w:numId="16" w16cid:durableId="124664709">
    <w:abstractNumId w:val="25"/>
  </w:num>
  <w:num w:numId="17" w16cid:durableId="1314066396">
    <w:abstractNumId w:val="20"/>
  </w:num>
  <w:num w:numId="18" w16cid:durableId="42950968">
    <w:abstractNumId w:val="16"/>
  </w:num>
  <w:num w:numId="19" w16cid:durableId="1611426082">
    <w:abstractNumId w:val="10"/>
  </w:num>
  <w:num w:numId="20" w16cid:durableId="1482506933">
    <w:abstractNumId w:val="23"/>
  </w:num>
  <w:num w:numId="21" w16cid:durableId="741218451">
    <w:abstractNumId w:val="9"/>
  </w:num>
  <w:num w:numId="22" w16cid:durableId="873543687">
    <w:abstractNumId w:val="2"/>
  </w:num>
  <w:num w:numId="23" w16cid:durableId="1508250515">
    <w:abstractNumId w:val="21"/>
  </w:num>
  <w:num w:numId="24" w16cid:durableId="1609192131">
    <w:abstractNumId w:val="27"/>
  </w:num>
  <w:num w:numId="25" w16cid:durableId="1264220398">
    <w:abstractNumId w:val="7"/>
  </w:num>
  <w:num w:numId="26" w16cid:durableId="1441994600">
    <w:abstractNumId w:val="5"/>
  </w:num>
  <w:num w:numId="27" w16cid:durableId="299041446">
    <w:abstractNumId w:val="14"/>
  </w:num>
  <w:num w:numId="28" w16cid:durableId="1443955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002B1"/>
    <w:rsid w:val="00001D50"/>
    <w:rsid w:val="00005510"/>
    <w:rsid w:val="000111E4"/>
    <w:rsid w:val="0001142D"/>
    <w:rsid w:val="00017C8E"/>
    <w:rsid w:val="00020BE0"/>
    <w:rsid w:val="0002288A"/>
    <w:rsid w:val="000305FD"/>
    <w:rsid w:val="000408AB"/>
    <w:rsid w:val="00041723"/>
    <w:rsid w:val="00042EF9"/>
    <w:rsid w:val="00043AF4"/>
    <w:rsid w:val="000448CB"/>
    <w:rsid w:val="00051C79"/>
    <w:rsid w:val="000545BB"/>
    <w:rsid w:val="000829C9"/>
    <w:rsid w:val="0009616F"/>
    <w:rsid w:val="000A246E"/>
    <w:rsid w:val="000B5ECD"/>
    <w:rsid w:val="000D1CF3"/>
    <w:rsid w:val="000D3741"/>
    <w:rsid w:val="000D3EA9"/>
    <w:rsid w:val="000E235C"/>
    <w:rsid w:val="00102CB4"/>
    <w:rsid w:val="00107C95"/>
    <w:rsid w:val="001228B4"/>
    <w:rsid w:val="001231A5"/>
    <w:rsid w:val="0014781D"/>
    <w:rsid w:val="00157A58"/>
    <w:rsid w:val="0016086A"/>
    <w:rsid w:val="0016212F"/>
    <w:rsid w:val="00165C70"/>
    <w:rsid w:val="0016703B"/>
    <w:rsid w:val="001900B7"/>
    <w:rsid w:val="00192E28"/>
    <w:rsid w:val="001A7D0E"/>
    <w:rsid w:val="001B49A1"/>
    <w:rsid w:val="001B4A48"/>
    <w:rsid w:val="001D2BE3"/>
    <w:rsid w:val="001E1603"/>
    <w:rsid w:val="001E3BC6"/>
    <w:rsid w:val="001F5D58"/>
    <w:rsid w:val="002007D1"/>
    <w:rsid w:val="0020171B"/>
    <w:rsid w:val="002071D9"/>
    <w:rsid w:val="00207AB0"/>
    <w:rsid w:val="0022693A"/>
    <w:rsid w:val="00243F34"/>
    <w:rsid w:val="00250035"/>
    <w:rsid w:val="00250915"/>
    <w:rsid w:val="00272641"/>
    <w:rsid w:val="002A5DC9"/>
    <w:rsid w:val="002C1CB3"/>
    <w:rsid w:val="002C2156"/>
    <w:rsid w:val="002C552A"/>
    <w:rsid w:val="002D0A45"/>
    <w:rsid w:val="002D63BE"/>
    <w:rsid w:val="002D66B1"/>
    <w:rsid w:val="002E5056"/>
    <w:rsid w:val="002F3174"/>
    <w:rsid w:val="00315C32"/>
    <w:rsid w:val="00316029"/>
    <w:rsid w:val="003212F6"/>
    <w:rsid w:val="00325D00"/>
    <w:rsid w:val="0033440B"/>
    <w:rsid w:val="00336764"/>
    <w:rsid w:val="00350549"/>
    <w:rsid w:val="00351B52"/>
    <w:rsid w:val="00353C89"/>
    <w:rsid w:val="0035420F"/>
    <w:rsid w:val="00394EF4"/>
    <w:rsid w:val="003A1503"/>
    <w:rsid w:val="003B2B8D"/>
    <w:rsid w:val="003B3F77"/>
    <w:rsid w:val="003B4A87"/>
    <w:rsid w:val="003C2AF7"/>
    <w:rsid w:val="003C57F4"/>
    <w:rsid w:val="003C7FD4"/>
    <w:rsid w:val="003E6903"/>
    <w:rsid w:val="003E6E9C"/>
    <w:rsid w:val="00406F6E"/>
    <w:rsid w:val="004200F7"/>
    <w:rsid w:val="00424100"/>
    <w:rsid w:val="00430D34"/>
    <w:rsid w:val="0043422B"/>
    <w:rsid w:val="00435A07"/>
    <w:rsid w:val="004449A3"/>
    <w:rsid w:val="004471E5"/>
    <w:rsid w:val="00453528"/>
    <w:rsid w:val="00464FE3"/>
    <w:rsid w:val="00465EA9"/>
    <w:rsid w:val="004724E6"/>
    <w:rsid w:val="004732FF"/>
    <w:rsid w:val="00473649"/>
    <w:rsid w:val="004A01FC"/>
    <w:rsid w:val="004B2337"/>
    <w:rsid w:val="004B6B38"/>
    <w:rsid w:val="004E45C9"/>
    <w:rsid w:val="004E6B8C"/>
    <w:rsid w:val="00500628"/>
    <w:rsid w:val="00502053"/>
    <w:rsid w:val="00505D72"/>
    <w:rsid w:val="00513C83"/>
    <w:rsid w:val="0051688A"/>
    <w:rsid w:val="005319F4"/>
    <w:rsid w:val="00543E1E"/>
    <w:rsid w:val="00546D2C"/>
    <w:rsid w:val="00550443"/>
    <w:rsid w:val="005516C5"/>
    <w:rsid w:val="005746EE"/>
    <w:rsid w:val="0058216D"/>
    <w:rsid w:val="005902A1"/>
    <w:rsid w:val="00595981"/>
    <w:rsid w:val="00597519"/>
    <w:rsid w:val="005A0D76"/>
    <w:rsid w:val="005A13BA"/>
    <w:rsid w:val="005B4E73"/>
    <w:rsid w:val="005B7C5B"/>
    <w:rsid w:val="005C1347"/>
    <w:rsid w:val="005C29B9"/>
    <w:rsid w:val="005C3338"/>
    <w:rsid w:val="005C5BE3"/>
    <w:rsid w:val="005D0CB1"/>
    <w:rsid w:val="005D21C0"/>
    <w:rsid w:val="005D48E6"/>
    <w:rsid w:val="005E49BB"/>
    <w:rsid w:val="006109B7"/>
    <w:rsid w:val="006146A0"/>
    <w:rsid w:val="00625C84"/>
    <w:rsid w:val="00630D49"/>
    <w:rsid w:val="00631E1F"/>
    <w:rsid w:val="00633736"/>
    <w:rsid w:val="00644627"/>
    <w:rsid w:val="00645EF4"/>
    <w:rsid w:val="006505FE"/>
    <w:rsid w:val="00667039"/>
    <w:rsid w:val="00694E94"/>
    <w:rsid w:val="00697CCF"/>
    <w:rsid w:val="006A0928"/>
    <w:rsid w:val="006A2902"/>
    <w:rsid w:val="006A5A00"/>
    <w:rsid w:val="006C0B73"/>
    <w:rsid w:val="006C6032"/>
    <w:rsid w:val="006F223F"/>
    <w:rsid w:val="00706059"/>
    <w:rsid w:val="0071120C"/>
    <w:rsid w:val="007147DC"/>
    <w:rsid w:val="00721B7C"/>
    <w:rsid w:val="0072357A"/>
    <w:rsid w:val="00724C3D"/>
    <w:rsid w:val="00733972"/>
    <w:rsid w:val="0073697E"/>
    <w:rsid w:val="00753547"/>
    <w:rsid w:val="007562DA"/>
    <w:rsid w:val="00760DB0"/>
    <w:rsid w:val="00761E86"/>
    <w:rsid w:val="007709BE"/>
    <w:rsid w:val="007732F0"/>
    <w:rsid w:val="00777472"/>
    <w:rsid w:val="00777491"/>
    <w:rsid w:val="007831C3"/>
    <w:rsid w:val="00787B06"/>
    <w:rsid w:val="007A74B3"/>
    <w:rsid w:val="007B3417"/>
    <w:rsid w:val="007B4FDA"/>
    <w:rsid w:val="007B55E4"/>
    <w:rsid w:val="007C209B"/>
    <w:rsid w:val="007C4ABC"/>
    <w:rsid w:val="007C66B8"/>
    <w:rsid w:val="007C6C9F"/>
    <w:rsid w:val="007E0C50"/>
    <w:rsid w:val="007E64F6"/>
    <w:rsid w:val="007F05D4"/>
    <w:rsid w:val="007F19A9"/>
    <w:rsid w:val="007F4137"/>
    <w:rsid w:val="00804671"/>
    <w:rsid w:val="00816D36"/>
    <w:rsid w:val="00820BCC"/>
    <w:rsid w:val="0082108B"/>
    <w:rsid w:val="008325F3"/>
    <w:rsid w:val="008342E4"/>
    <w:rsid w:val="008352CD"/>
    <w:rsid w:val="00835FF9"/>
    <w:rsid w:val="0084333B"/>
    <w:rsid w:val="00843C2D"/>
    <w:rsid w:val="00846427"/>
    <w:rsid w:val="00856A03"/>
    <w:rsid w:val="00866AB6"/>
    <w:rsid w:val="00867CA8"/>
    <w:rsid w:val="0087391D"/>
    <w:rsid w:val="0087541B"/>
    <w:rsid w:val="0087782A"/>
    <w:rsid w:val="0088126F"/>
    <w:rsid w:val="00882A0F"/>
    <w:rsid w:val="00883749"/>
    <w:rsid w:val="0088692F"/>
    <w:rsid w:val="008A5B7E"/>
    <w:rsid w:val="008A71B3"/>
    <w:rsid w:val="008B03B4"/>
    <w:rsid w:val="008B5560"/>
    <w:rsid w:val="008B7FD1"/>
    <w:rsid w:val="008C0280"/>
    <w:rsid w:val="008C37D4"/>
    <w:rsid w:val="008D31E9"/>
    <w:rsid w:val="008E0ED1"/>
    <w:rsid w:val="0090517E"/>
    <w:rsid w:val="009129F7"/>
    <w:rsid w:val="00914E91"/>
    <w:rsid w:val="00914F86"/>
    <w:rsid w:val="009217D8"/>
    <w:rsid w:val="0092633D"/>
    <w:rsid w:val="009319CD"/>
    <w:rsid w:val="00937F7A"/>
    <w:rsid w:val="00940210"/>
    <w:rsid w:val="00940F6B"/>
    <w:rsid w:val="0096550E"/>
    <w:rsid w:val="00965963"/>
    <w:rsid w:val="00974B99"/>
    <w:rsid w:val="009916E1"/>
    <w:rsid w:val="00993770"/>
    <w:rsid w:val="00994D5F"/>
    <w:rsid w:val="009A7444"/>
    <w:rsid w:val="009B00B6"/>
    <w:rsid w:val="009B1374"/>
    <w:rsid w:val="009B7395"/>
    <w:rsid w:val="009C0A58"/>
    <w:rsid w:val="009C2F43"/>
    <w:rsid w:val="009D4C69"/>
    <w:rsid w:val="009E2E90"/>
    <w:rsid w:val="009F3A34"/>
    <w:rsid w:val="00A00296"/>
    <w:rsid w:val="00A02946"/>
    <w:rsid w:val="00A030FC"/>
    <w:rsid w:val="00A1285C"/>
    <w:rsid w:val="00A1411F"/>
    <w:rsid w:val="00A25892"/>
    <w:rsid w:val="00A370C6"/>
    <w:rsid w:val="00A40E65"/>
    <w:rsid w:val="00A416CB"/>
    <w:rsid w:val="00A45BC8"/>
    <w:rsid w:val="00A47935"/>
    <w:rsid w:val="00A5488A"/>
    <w:rsid w:val="00A563D6"/>
    <w:rsid w:val="00A6324A"/>
    <w:rsid w:val="00A63743"/>
    <w:rsid w:val="00A71A60"/>
    <w:rsid w:val="00A73EBD"/>
    <w:rsid w:val="00A741C4"/>
    <w:rsid w:val="00A81930"/>
    <w:rsid w:val="00A8788B"/>
    <w:rsid w:val="00A87C44"/>
    <w:rsid w:val="00A908DA"/>
    <w:rsid w:val="00A95674"/>
    <w:rsid w:val="00A972E3"/>
    <w:rsid w:val="00AA23D3"/>
    <w:rsid w:val="00AA2F0E"/>
    <w:rsid w:val="00AA3A85"/>
    <w:rsid w:val="00AA74C5"/>
    <w:rsid w:val="00AA77C5"/>
    <w:rsid w:val="00AB1596"/>
    <w:rsid w:val="00AC21C8"/>
    <w:rsid w:val="00AE54E8"/>
    <w:rsid w:val="00AF10DD"/>
    <w:rsid w:val="00AF252C"/>
    <w:rsid w:val="00AF2D17"/>
    <w:rsid w:val="00AF46E6"/>
    <w:rsid w:val="00AF6853"/>
    <w:rsid w:val="00B024E5"/>
    <w:rsid w:val="00B06CF9"/>
    <w:rsid w:val="00B06F46"/>
    <w:rsid w:val="00B106CC"/>
    <w:rsid w:val="00B118BD"/>
    <w:rsid w:val="00B24717"/>
    <w:rsid w:val="00B333EB"/>
    <w:rsid w:val="00B363AB"/>
    <w:rsid w:val="00B36BD2"/>
    <w:rsid w:val="00B5352E"/>
    <w:rsid w:val="00B53BFB"/>
    <w:rsid w:val="00B62C83"/>
    <w:rsid w:val="00B801B1"/>
    <w:rsid w:val="00B942FA"/>
    <w:rsid w:val="00BB6725"/>
    <w:rsid w:val="00BD2B61"/>
    <w:rsid w:val="00BD44DC"/>
    <w:rsid w:val="00BE2176"/>
    <w:rsid w:val="00BE4724"/>
    <w:rsid w:val="00BE5510"/>
    <w:rsid w:val="00C03B70"/>
    <w:rsid w:val="00C07EFA"/>
    <w:rsid w:val="00C14BE9"/>
    <w:rsid w:val="00C1729D"/>
    <w:rsid w:val="00C17FAF"/>
    <w:rsid w:val="00C21CD8"/>
    <w:rsid w:val="00C2767F"/>
    <w:rsid w:val="00C46CE4"/>
    <w:rsid w:val="00C60CDD"/>
    <w:rsid w:val="00C629FD"/>
    <w:rsid w:val="00C660ED"/>
    <w:rsid w:val="00C7168F"/>
    <w:rsid w:val="00C7305D"/>
    <w:rsid w:val="00C74C77"/>
    <w:rsid w:val="00C9246C"/>
    <w:rsid w:val="00C92773"/>
    <w:rsid w:val="00CA5A61"/>
    <w:rsid w:val="00CA7F3F"/>
    <w:rsid w:val="00CB0EC6"/>
    <w:rsid w:val="00CB1F43"/>
    <w:rsid w:val="00CB21E9"/>
    <w:rsid w:val="00CC0C0C"/>
    <w:rsid w:val="00CC7B72"/>
    <w:rsid w:val="00CD0B0B"/>
    <w:rsid w:val="00CD1434"/>
    <w:rsid w:val="00CE0718"/>
    <w:rsid w:val="00CE3F6F"/>
    <w:rsid w:val="00CE561F"/>
    <w:rsid w:val="00D02117"/>
    <w:rsid w:val="00D0267F"/>
    <w:rsid w:val="00D1472A"/>
    <w:rsid w:val="00D523BA"/>
    <w:rsid w:val="00D62382"/>
    <w:rsid w:val="00D7236C"/>
    <w:rsid w:val="00D76189"/>
    <w:rsid w:val="00D873AC"/>
    <w:rsid w:val="00D87D9A"/>
    <w:rsid w:val="00D90AE1"/>
    <w:rsid w:val="00DA2B4A"/>
    <w:rsid w:val="00DB16C7"/>
    <w:rsid w:val="00DB1E64"/>
    <w:rsid w:val="00DB33AC"/>
    <w:rsid w:val="00DC13FA"/>
    <w:rsid w:val="00DC4C04"/>
    <w:rsid w:val="00DE1192"/>
    <w:rsid w:val="00DE2EE2"/>
    <w:rsid w:val="00DE3580"/>
    <w:rsid w:val="00DF0795"/>
    <w:rsid w:val="00DF4EC5"/>
    <w:rsid w:val="00DF6926"/>
    <w:rsid w:val="00DF78C3"/>
    <w:rsid w:val="00E072AC"/>
    <w:rsid w:val="00E10D29"/>
    <w:rsid w:val="00E16ADE"/>
    <w:rsid w:val="00E22AA0"/>
    <w:rsid w:val="00E24BF8"/>
    <w:rsid w:val="00E331E3"/>
    <w:rsid w:val="00E5226B"/>
    <w:rsid w:val="00E55232"/>
    <w:rsid w:val="00E67CFD"/>
    <w:rsid w:val="00E727CA"/>
    <w:rsid w:val="00E73F76"/>
    <w:rsid w:val="00E74D56"/>
    <w:rsid w:val="00E77C05"/>
    <w:rsid w:val="00E81E81"/>
    <w:rsid w:val="00E87D82"/>
    <w:rsid w:val="00E9388A"/>
    <w:rsid w:val="00E95035"/>
    <w:rsid w:val="00E97E84"/>
    <w:rsid w:val="00EA2484"/>
    <w:rsid w:val="00EB24C3"/>
    <w:rsid w:val="00EB43F1"/>
    <w:rsid w:val="00EB4523"/>
    <w:rsid w:val="00EB559D"/>
    <w:rsid w:val="00EB7311"/>
    <w:rsid w:val="00EC5087"/>
    <w:rsid w:val="00EC58C7"/>
    <w:rsid w:val="00EC74EC"/>
    <w:rsid w:val="00EE689C"/>
    <w:rsid w:val="00EF0E43"/>
    <w:rsid w:val="00F026B7"/>
    <w:rsid w:val="00F03C1D"/>
    <w:rsid w:val="00F235C3"/>
    <w:rsid w:val="00F37547"/>
    <w:rsid w:val="00F421D8"/>
    <w:rsid w:val="00F46E95"/>
    <w:rsid w:val="00F51642"/>
    <w:rsid w:val="00F613D0"/>
    <w:rsid w:val="00F62003"/>
    <w:rsid w:val="00F630C8"/>
    <w:rsid w:val="00F65388"/>
    <w:rsid w:val="00F702A8"/>
    <w:rsid w:val="00F726A1"/>
    <w:rsid w:val="00F72ACF"/>
    <w:rsid w:val="00F83AA3"/>
    <w:rsid w:val="00F91BEA"/>
    <w:rsid w:val="00FA44A2"/>
    <w:rsid w:val="00FB3575"/>
    <w:rsid w:val="00FB5CA1"/>
    <w:rsid w:val="00FC08AB"/>
    <w:rsid w:val="00FC0B60"/>
    <w:rsid w:val="00FC4E31"/>
    <w:rsid w:val="00FD6171"/>
    <w:rsid w:val="00FE1F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unhideWhenUsed/>
    <w:rsid w:val="00325D00"/>
    <w:rPr>
      <w:sz w:val="16"/>
      <w:szCs w:val="16"/>
    </w:rPr>
  </w:style>
  <w:style w:type="paragraph" w:styleId="CommentText">
    <w:name w:val="annotation text"/>
    <w:aliases w:val="Diagrama Diagrama Diagrama,Diagrama Diagrama"/>
    <w:basedOn w:val="Normal"/>
    <w:link w:val="CommentTextChar"/>
    <w:uiPriority w:val="99"/>
    <w:unhideWhenUsed/>
    <w:rsid w:val="00325D00"/>
  </w:style>
  <w:style w:type="character" w:customStyle="1" w:styleId="CommentTextChar">
    <w:name w:val="Comment Text Char"/>
    <w:aliases w:val="Diagrama Diagrama Diagrama Char,Diagrama Diagrama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qFormat/>
    <w:rsid w:val="00D62382"/>
    <w:rPr>
      <w:rFonts w:ascii="Arial" w:hAnsi="Arial" w:cs="Arial" w:hint="default"/>
      <w:sz w:val="20"/>
    </w:rPr>
  </w:style>
  <w:style w:type="paragraph" w:styleId="Revision">
    <w:name w:val="Revision"/>
    <w:hidden/>
    <w:uiPriority w:val="99"/>
    <w:semiHidden/>
    <w:rsid w:val="00706059"/>
    <w:pPr>
      <w:spacing w:after="0" w:line="240" w:lineRule="auto"/>
    </w:pPr>
    <w:rPr>
      <w:rFonts w:ascii="Arial" w:eastAsia="Times New Roman" w:hAnsi="Arial" w:cs="Arial"/>
      <w:sz w:val="20"/>
      <w:szCs w:val="20"/>
      <w:lang w:eastAsia="lt-LT"/>
    </w:rPr>
  </w:style>
  <w:style w:type="character" w:customStyle="1" w:styleId="normaltextrun">
    <w:name w:val="normaltextrun"/>
    <w:basedOn w:val="DefaultParagraphFont"/>
    <w:rsid w:val="001B4A48"/>
  </w:style>
  <w:style w:type="character" w:styleId="FollowedHyperlink">
    <w:name w:val="FollowedHyperlink"/>
    <w:basedOn w:val="DefaultParagraphFont"/>
    <w:uiPriority w:val="99"/>
    <w:semiHidden/>
    <w:unhideWhenUsed/>
    <w:rsid w:val="004B6B38"/>
    <w:rPr>
      <w:color w:val="954F72" w:themeColor="followedHyperlink"/>
      <w:u w:val="single"/>
    </w:rPr>
  </w:style>
  <w:style w:type="character" w:styleId="UnresolvedMention">
    <w:name w:val="Unresolved Mention"/>
    <w:basedOn w:val="DefaultParagraphFont"/>
    <w:uiPriority w:val="99"/>
    <w:semiHidden/>
    <w:unhideWhenUsed/>
    <w:rsid w:val="004B6B38"/>
    <w:rPr>
      <w:color w:val="605E5C"/>
      <w:shd w:val="clear" w:color="auto" w:fill="E1DFDD"/>
    </w:rPr>
  </w:style>
  <w:style w:type="table" w:styleId="TableGrid">
    <w:name w:val="Table Grid"/>
    <w:basedOn w:val="TableNormal"/>
    <w:uiPriority w:val="39"/>
    <w:rsid w:val="000E2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C5087"/>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6592">
      <w:bodyDiv w:val="1"/>
      <w:marLeft w:val="0"/>
      <w:marRight w:val="0"/>
      <w:marTop w:val="0"/>
      <w:marBottom w:val="0"/>
      <w:divBdr>
        <w:top w:val="none" w:sz="0" w:space="0" w:color="auto"/>
        <w:left w:val="none" w:sz="0" w:space="0" w:color="auto"/>
        <w:bottom w:val="none" w:sz="0" w:space="0" w:color="auto"/>
        <w:right w:val="none" w:sz="0" w:space="0" w:color="auto"/>
      </w:divBdr>
    </w:div>
    <w:div w:id="284850226">
      <w:bodyDiv w:val="1"/>
      <w:marLeft w:val="0"/>
      <w:marRight w:val="0"/>
      <w:marTop w:val="0"/>
      <w:marBottom w:val="0"/>
      <w:divBdr>
        <w:top w:val="none" w:sz="0" w:space="0" w:color="auto"/>
        <w:left w:val="none" w:sz="0" w:space="0" w:color="auto"/>
        <w:bottom w:val="none" w:sz="0" w:space="0" w:color="auto"/>
        <w:right w:val="none" w:sz="0" w:space="0" w:color="auto"/>
      </w:divBdr>
    </w:div>
    <w:div w:id="625892326">
      <w:bodyDiv w:val="1"/>
      <w:marLeft w:val="0"/>
      <w:marRight w:val="0"/>
      <w:marTop w:val="0"/>
      <w:marBottom w:val="0"/>
      <w:divBdr>
        <w:top w:val="none" w:sz="0" w:space="0" w:color="auto"/>
        <w:left w:val="none" w:sz="0" w:space="0" w:color="auto"/>
        <w:bottom w:val="none" w:sz="0" w:space="0" w:color="auto"/>
        <w:right w:val="none" w:sz="0" w:space="0" w:color="auto"/>
      </w:divBdr>
      <w:divsChild>
        <w:div w:id="517819670">
          <w:marLeft w:val="0"/>
          <w:marRight w:val="0"/>
          <w:marTop w:val="0"/>
          <w:marBottom w:val="0"/>
          <w:divBdr>
            <w:top w:val="none" w:sz="0" w:space="0" w:color="auto"/>
            <w:left w:val="none" w:sz="0" w:space="0" w:color="auto"/>
            <w:bottom w:val="none" w:sz="0" w:space="0" w:color="auto"/>
            <w:right w:val="none" w:sz="0" w:space="0" w:color="auto"/>
          </w:divBdr>
        </w:div>
        <w:div w:id="1572957262">
          <w:marLeft w:val="0"/>
          <w:marRight w:val="0"/>
          <w:marTop w:val="0"/>
          <w:marBottom w:val="0"/>
          <w:divBdr>
            <w:top w:val="none" w:sz="0" w:space="0" w:color="auto"/>
            <w:left w:val="none" w:sz="0" w:space="0" w:color="auto"/>
            <w:bottom w:val="none" w:sz="0" w:space="0" w:color="auto"/>
            <w:right w:val="none" w:sz="0" w:space="0" w:color="auto"/>
          </w:divBdr>
        </w:div>
      </w:divsChild>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87250">
      <w:bodyDiv w:val="1"/>
      <w:marLeft w:val="0"/>
      <w:marRight w:val="0"/>
      <w:marTop w:val="0"/>
      <w:marBottom w:val="0"/>
      <w:divBdr>
        <w:top w:val="none" w:sz="0" w:space="0" w:color="auto"/>
        <w:left w:val="none" w:sz="0" w:space="0" w:color="auto"/>
        <w:bottom w:val="none" w:sz="0" w:space="0" w:color="auto"/>
        <w:right w:val="none" w:sz="0" w:space="0" w:color="auto"/>
      </w:divBdr>
      <w:divsChild>
        <w:div w:id="1559239744">
          <w:marLeft w:val="0"/>
          <w:marRight w:val="0"/>
          <w:marTop w:val="0"/>
          <w:marBottom w:val="0"/>
          <w:divBdr>
            <w:top w:val="none" w:sz="0" w:space="0" w:color="auto"/>
            <w:left w:val="none" w:sz="0" w:space="0" w:color="auto"/>
            <w:bottom w:val="none" w:sz="0" w:space="0" w:color="auto"/>
            <w:right w:val="none" w:sz="0" w:space="0" w:color="auto"/>
          </w:divBdr>
          <w:divsChild>
            <w:div w:id="1256137669">
              <w:marLeft w:val="0"/>
              <w:marRight w:val="0"/>
              <w:marTop w:val="0"/>
              <w:marBottom w:val="0"/>
              <w:divBdr>
                <w:top w:val="none" w:sz="0" w:space="0" w:color="auto"/>
                <w:left w:val="none" w:sz="0" w:space="0" w:color="auto"/>
                <w:bottom w:val="none" w:sz="0" w:space="0" w:color="auto"/>
                <w:right w:val="none" w:sz="0" w:space="0" w:color="auto"/>
              </w:divBdr>
            </w:div>
            <w:div w:id="1183982903">
              <w:marLeft w:val="0"/>
              <w:marRight w:val="0"/>
              <w:marTop w:val="0"/>
              <w:marBottom w:val="0"/>
              <w:divBdr>
                <w:top w:val="none" w:sz="0" w:space="0" w:color="auto"/>
                <w:left w:val="none" w:sz="0" w:space="0" w:color="auto"/>
                <w:bottom w:val="none" w:sz="0" w:space="0" w:color="auto"/>
                <w:right w:val="none" w:sz="0" w:space="0" w:color="auto"/>
              </w:divBdr>
            </w:div>
            <w:div w:id="1127044862">
              <w:marLeft w:val="0"/>
              <w:marRight w:val="0"/>
              <w:marTop w:val="0"/>
              <w:marBottom w:val="0"/>
              <w:divBdr>
                <w:top w:val="none" w:sz="0" w:space="0" w:color="auto"/>
                <w:left w:val="none" w:sz="0" w:space="0" w:color="auto"/>
                <w:bottom w:val="none" w:sz="0" w:space="0" w:color="auto"/>
                <w:right w:val="none" w:sz="0" w:space="0" w:color="auto"/>
              </w:divBdr>
            </w:div>
            <w:div w:id="2007171581">
              <w:marLeft w:val="0"/>
              <w:marRight w:val="0"/>
              <w:marTop w:val="0"/>
              <w:marBottom w:val="0"/>
              <w:divBdr>
                <w:top w:val="none" w:sz="0" w:space="0" w:color="auto"/>
                <w:left w:val="none" w:sz="0" w:space="0" w:color="auto"/>
                <w:bottom w:val="none" w:sz="0" w:space="0" w:color="auto"/>
                <w:right w:val="none" w:sz="0" w:space="0" w:color="auto"/>
              </w:divBdr>
            </w:div>
          </w:divsChild>
        </w:div>
        <w:div w:id="1352101216">
          <w:marLeft w:val="0"/>
          <w:marRight w:val="0"/>
          <w:marTop w:val="0"/>
          <w:marBottom w:val="0"/>
          <w:divBdr>
            <w:top w:val="none" w:sz="0" w:space="0" w:color="auto"/>
            <w:left w:val="none" w:sz="0" w:space="0" w:color="auto"/>
            <w:bottom w:val="none" w:sz="0" w:space="0" w:color="auto"/>
            <w:right w:val="none" w:sz="0" w:space="0" w:color="auto"/>
          </w:divBdr>
        </w:div>
      </w:divsChild>
    </w:div>
    <w:div w:id="1014725832">
      <w:bodyDiv w:val="1"/>
      <w:marLeft w:val="0"/>
      <w:marRight w:val="0"/>
      <w:marTop w:val="0"/>
      <w:marBottom w:val="0"/>
      <w:divBdr>
        <w:top w:val="none" w:sz="0" w:space="0" w:color="auto"/>
        <w:left w:val="none" w:sz="0" w:space="0" w:color="auto"/>
        <w:bottom w:val="none" w:sz="0" w:space="0" w:color="auto"/>
        <w:right w:val="none" w:sz="0" w:space="0" w:color="auto"/>
      </w:divBdr>
    </w:div>
    <w:div w:id="1532566709">
      <w:bodyDiv w:val="1"/>
      <w:marLeft w:val="0"/>
      <w:marRight w:val="0"/>
      <w:marTop w:val="0"/>
      <w:marBottom w:val="0"/>
      <w:divBdr>
        <w:top w:val="none" w:sz="0" w:space="0" w:color="auto"/>
        <w:left w:val="none" w:sz="0" w:space="0" w:color="auto"/>
        <w:bottom w:val="none" w:sz="0" w:space="0" w:color="auto"/>
        <w:right w:val="none" w:sz="0" w:space="0" w:color="auto"/>
      </w:divBdr>
      <w:divsChild>
        <w:div w:id="1857454044">
          <w:marLeft w:val="0"/>
          <w:marRight w:val="0"/>
          <w:marTop w:val="0"/>
          <w:marBottom w:val="0"/>
          <w:divBdr>
            <w:top w:val="none" w:sz="0" w:space="0" w:color="auto"/>
            <w:left w:val="none" w:sz="0" w:space="0" w:color="auto"/>
            <w:bottom w:val="none" w:sz="0" w:space="0" w:color="auto"/>
            <w:right w:val="none" w:sz="0" w:space="0" w:color="auto"/>
          </w:divBdr>
        </w:div>
      </w:divsChild>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830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EB9537749F8E9499700B6BEDA9587CC" ma:contentTypeVersion="1" ma:contentTypeDescription="Kurkite naują dokumentą." ma:contentTypeScope="" ma:versionID="283b345fa867854b59a2d6dd79b4f2c8">
  <xsd:schema xmlns:xsd="http://www.w3.org/2001/XMLSchema" xmlns:xs="http://www.w3.org/2001/XMLSchema" xmlns:p="http://schemas.microsoft.com/office/2006/metadata/properties" xmlns:ns2="e4a4a6e5-fe76-4ab6-8a20-008f1c7613e8" targetNamespace="http://schemas.microsoft.com/office/2006/metadata/properties" ma:root="true" ma:fieldsID="dc21e45897837a9dc5005ff5c7136c5c" ns2:_="">
    <xsd:import namespace="e4a4a6e5-fe76-4ab6-8a20-008f1c7613e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4a6e5-fe76-4ab6-8a20-008f1c7613e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D70E5-E20C-4CD8-94FC-F30ECCF203E1}">
  <ds:schemaRef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metadata/properties"/>
    <ds:schemaRef ds:uri="e4a4a6e5-fe76-4ab6-8a20-008f1c7613e8"/>
  </ds:schemaRefs>
</ds:datastoreItem>
</file>

<file path=customXml/itemProps2.xml><?xml version="1.0" encoding="utf-8"?>
<ds:datastoreItem xmlns:ds="http://schemas.openxmlformats.org/officeDocument/2006/customXml" ds:itemID="{E01478B1-6EC2-40B4-A0E9-FF62F4FE5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4a6e5-fe76-4ab6-8a20-008f1c7613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C63D5-512B-4512-A743-43C10ED26CDF}">
  <ds:schemaRefs>
    <ds:schemaRef ds:uri="http://schemas.openxmlformats.org/officeDocument/2006/bibliography"/>
  </ds:schemaRefs>
</ds:datastoreItem>
</file>

<file path=customXml/itemProps4.xml><?xml version="1.0" encoding="utf-8"?>
<ds:datastoreItem xmlns:ds="http://schemas.openxmlformats.org/officeDocument/2006/customXml" ds:itemID="{8B01B3EE-310C-47F2-AFB6-B337D2E87BF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3292</Words>
  <Characters>1877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TIC</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Ieva Bučinskaitė</cp:lastModifiedBy>
  <cp:revision>2</cp:revision>
  <dcterms:created xsi:type="dcterms:W3CDTF">2025-09-23T07:44:00Z</dcterms:created>
  <dcterms:modified xsi:type="dcterms:W3CDTF">2025-09-23T07:44:00Z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0x010100FEB9537749F8E9499700B6BEDA9587CC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Mindaugas.Brusokas@ignitis.lt</vt:lpwstr>
  </property>
  <property fmtid="{D5CDD505-2E9C-101B-9397-08002B2CF9AE}" pid="6" name="MSIP_Label_320c693d-44b7-4e16-b3dd-4fcd87401cf5_SetDate">
    <vt:lpwstr>2020-06-22T10:14:05.8245549Z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6f46336e-244e-40b3-8eab-1a90db22effb</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Mindaugas.Brusokas@ignitis.lt</vt:lpwstr>
  </property>
  <property fmtid="{D5CDD505-2E9C-101B-9397-08002B2CF9AE}" pid="14" name="MSIP_Label_190751af-2442-49a7-b7b9-9f0bcce858c9_SetDate">
    <vt:lpwstr>2020-06-22T10:14:05.8245549Z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6f46336e-244e-40b3-8eab-1a90db22effb</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